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ind w:hanging="0"/>
        <w:jc w:val="center"/>
        <w:rPr>
          <w:rFonts w:ascii="PT Astra Serif" w:hAnsi="PT Astra Serif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color w:val="000000"/>
          <w:sz w:val="28"/>
          <w:szCs w:val="28"/>
          <w:lang w:eastAsia="ru-RU"/>
        </w:rPr>
        <w:t>Порядок подачи информации</w:t>
      </w:r>
    </w:p>
    <w:p>
      <w:pPr>
        <w:pStyle w:val="Normal"/>
        <w:shd w:val="clear" w:color="auto" w:fill="FFFFFF"/>
        <w:ind w:hanging="0"/>
        <w:jc w:val="center"/>
        <w:rPr>
          <w:rFonts w:ascii="PT Astra Serif" w:hAnsi="PT Astra Serif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PT Astra Serif" w:hAnsi="PT Astra Serif"/>
          <w:b/>
          <w:bCs/>
          <w:color w:val="000000"/>
          <w:sz w:val="28"/>
          <w:szCs w:val="28"/>
          <w:lang w:eastAsia="ru-RU"/>
        </w:rPr>
        <w:t>о выполнении квоты для приема на работу инвалидов</w:t>
      </w:r>
    </w:p>
    <w:p>
      <w:pPr>
        <w:pStyle w:val="Normal"/>
        <w:ind w:firstLine="708"/>
        <w:jc w:val="both"/>
        <w:rPr>
          <w:rFonts w:ascii="PT Astra Serif" w:hAnsi="PT Astra Serif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shd w:fill="FFFFFF" w:val="clear"/>
          <w:lang w:eastAsia="ru-RU"/>
        </w:rPr>
      </w:r>
    </w:p>
    <w:p>
      <w:pPr>
        <w:pStyle w:val="ConsPlusNonformat"/>
        <w:ind w:firstLine="709"/>
        <w:jc w:val="both"/>
        <w:rPr/>
      </w:pPr>
      <w:bookmarkStart w:id="0" w:name="_Hlk167094525"/>
      <w:r>
        <w:rPr>
          <w:rFonts w:cs="Times New Roman" w:ascii="PT Astra Serif" w:hAnsi="PT Astra Serif"/>
          <w:color w:val="000000"/>
          <w:sz w:val="28"/>
          <w:szCs w:val="28"/>
          <w:shd w:fill="FFFFFF" w:val="clear"/>
        </w:rPr>
        <w:t>Согласно</w:t>
      </w:r>
      <w:r>
        <w:rPr>
          <w:rFonts w:ascii="PT Astra Serif" w:hAnsi="PT Astra Serif"/>
          <w:color w:val="000000"/>
          <w:sz w:val="28"/>
          <w:szCs w:val="28"/>
        </w:rPr>
        <w:t xml:space="preserve"> части 7 статьи 53 Федерального закона от 12.12.2023 </w:t>
        <w:br/>
        <w:t>№ 565-ФЗ «О занятости населения в Российской Федерации»,</w:t>
      </w:r>
      <w:bookmarkEnd w:id="0"/>
      <w:r>
        <w:rPr>
          <w:rFonts w:ascii="PT Astra Serif" w:hAnsi="PT Astra Serif"/>
          <w:color w:val="000000"/>
          <w:sz w:val="28"/>
          <w:szCs w:val="28"/>
        </w:rPr>
        <w:t xml:space="preserve"> о выполнении квоты для приема на работу инвалидов работодатель обязан информировать государственную службу занятости ежемесячно не позднее 10-го числа месяца, следующего за отчетным</w:t>
      </w:r>
      <w:r>
        <w:rPr>
          <w:rFonts w:cs="Times New Roman" w:ascii="PT Astra Serif" w:hAnsi="PT Astra Serif"/>
          <w:color w:val="000000"/>
          <w:sz w:val="28"/>
          <w:szCs w:val="28"/>
          <w:shd w:fill="FFFFFF" w:val="clear"/>
        </w:rPr>
        <w:t>.</w:t>
      </w:r>
    </w:p>
    <w:p>
      <w:pPr>
        <w:pStyle w:val="Normal"/>
        <w:ind w:firstLine="708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Кроме того, в соответствии с частью 6 статьи 53 Федерального закона </w:t>
        <w:br/>
        <w:t xml:space="preserve">от 12.12.2023 № 565-ФЗ «О занятости населения в Российской Федерации», </w:t>
        <w:br/>
        <w:t>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должностей, а об изменении указанной информации - в течение пяти рабочих дней со дня возникновения изменений.</w:t>
      </w:r>
      <w:r>
        <w:rPr>
          <w:rFonts w:eastAsia="Calibri" w:ascii="PT Astra Serif" w:hAnsi="PT Astra Serif"/>
          <w:color w:val="000000"/>
          <w:sz w:val="28"/>
          <w:szCs w:val="28"/>
        </w:rPr>
        <w:t xml:space="preserve"> </w:t>
      </w:r>
    </w:p>
    <w:p>
      <w:pPr>
        <w:pStyle w:val="Normal"/>
        <w:ind w:firstLine="708"/>
        <w:jc w:val="both"/>
        <w:rPr>
          <w:rFonts w:ascii="PT Astra Serif" w:hAnsi="PT Astra Serif"/>
          <w:color w:val="000000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>В соответствии с постановлением Правительства Росссийской Федерации от 30.05.2024 № 709 «О порядке выполнения работодателями квоты для приема на работу инвалидов» выполнение работодателем установленной квоты обеспечивается в случаях наличия: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 xml:space="preserve">а) заключенного трудового договора с инвалидом на рабочее место непосредственно у работодателя. Исполнение квоты считается кратным </w:t>
        <w:br/>
        <w:t>2 рабочим местам для трудоустройства инвалидов при трудоустройстве: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>одного инвалида I группы;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 xml:space="preserve">одного инвалида из числа ветеранов боевых действий, указанных </w:t>
        <w:br/>
        <w:t xml:space="preserve">в подпунктах 1, 1.1, 2.2 - 2.5 пункта 1 статьи 3 Федерального закона </w:t>
        <w:br/>
        <w:t>«О ветеранах» и принимавших участие в специальной военной операции;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 xml:space="preserve">б) заключенного трудового договора между инвалидом и иной организацией, включая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 (далее - иная организация), заключившей соглашение </w:t>
        <w:br/>
        <w:t>о трудоустройстве инвалида с работодателем, которому установлена квота (далее - соглашение);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 xml:space="preserve">в) заключенного трудового договора между инвалидом </w:t>
        <w:br/>
        <w:t>и индивидуальным предпринимателем, заключившим соглашение;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 xml:space="preserve">г) договора возмездного оказания услуг или иного договора </w:t>
        <w:br/>
        <w:t xml:space="preserve">с организацией, обеспечивающей для группы организаций выполнение квоты посредством заключения соглашения с иной организацией </w:t>
        <w:br/>
        <w:t>или индивидуальным предпринимателем, заключенного трудового договора между инвалидом и иной организацией, индивидуальным предпринимателем.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>Работодатель освобождается от выполнения установленной квоты: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>а) в случае если работодатели являются общественными объединениями инвалидов и образованными ими организациями, в том числе хозяйственными товариществами и обществами, уставный (складочный) капитал которых состоит из вклада общественного объединения инвалидов;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>б) при признании работодателя несостоятельным (банкротом) и открытии конкурсного производства;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 xml:space="preserve">в) при уменьшении численности работников до числа работников, </w:t>
        <w:br/>
        <w:t>при котором квота не устанавливается;</w:t>
      </w:r>
    </w:p>
    <w:p>
      <w:pPr>
        <w:pStyle w:val="Normal"/>
        <w:ind w:firstLine="70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eastAsia="Calibri" w:ascii="PT Astra Serif" w:hAnsi="PT Astra Serif"/>
          <w:color w:val="000000"/>
          <w:sz w:val="28"/>
          <w:szCs w:val="28"/>
        </w:rPr>
        <w:t xml:space="preserve">г) при отсутствии на учете в государственных учреждениях службы занятости безработных инвалидов, инвалидов, зарегистрированных в качестве ищущих работу соответствующих профессионально-квалификационным требованиям к вакансиям, заявленным работодателем, либо при отсутствии </w:t>
        <w:br/>
        <w:t>в субъекте Российской Федерации, где находится работодатель, иных организаций или индивидуальных предпринимателей, готовых заключить соглашение.</w:t>
      </w:r>
    </w:p>
    <w:p>
      <w:pPr>
        <w:pStyle w:val="ConsPlusNonformat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PT Astra Serif" w:hAnsi="PT Astra Serif"/>
          <w:color w:val="000000"/>
          <w:sz w:val="28"/>
          <w:szCs w:val="28"/>
          <w:shd w:fill="FFFFFF" w:val="clear"/>
        </w:rPr>
        <w:t xml:space="preserve">Информация о выполнении квоты для приема на работу инвалидов, размещается работодателем на единой цифровой платформе в сфере занятости </w:t>
        <w:br/>
        <w:t>и трудовых отношений «Работа в России»  по форме № 7, утверждённой приказом Минтруда России от 16.04.2024 № 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в государственную службу занятости».</w:t>
      </w:r>
    </w:p>
    <w:p>
      <w:pPr>
        <w:pStyle w:val="Normal"/>
        <w:jc w:val="both"/>
        <w:rPr>
          <w:rFonts w:ascii="PT Astra Serif" w:hAnsi="PT Astra Serif"/>
          <w:color w:val="000000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shd w:fill="FFFFFF" w:val="clear"/>
          <w:lang w:eastAsia="ru-RU"/>
        </w:rPr>
        <w:t xml:space="preserve">По возникающим вопросам по предоставлению отчётности необходимо обращаться в филиалы областного государственного казённого учреждения «Кадровый центр Ульяновской области» по месту </w:t>
      </w:r>
      <w:r>
        <w:rPr>
          <w:rFonts w:eastAsia="Times New Roman" w:cs="Times New Roman" w:ascii="PT Astra Serif" w:hAnsi="PT Astra Serif"/>
          <w:color w:val="000000"/>
          <w:sz w:val="28"/>
          <w:szCs w:val="28"/>
          <w:shd w:fill="FFFFFF" w:val="clear"/>
          <w:lang w:eastAsia="ru-RU"/>
        </w:rPr>
        <w:t xml:space="preserve">регистрации </w:t>
      </w:r>
      <w:r>
        <w:rPr>
          <w:rFonts w:eastAsia="Times New Roman" w:cs="Times New Roman" w:ascii="PT Astra Serif" w:hAnsi="PT Astra Serif"/>
          <w:color w:val="000000"/>
          <w:sz w:val="28"/>
          <w:szCs w:val="28"/>
          <w:shd w:fill="FFFFFF" w:val="clear"/>
          <w:lang w:eastAsia="ru-RU"/>
        </w:rPr>
        <w:t>организации или в Агентство по развитию человеческого потенциала и трудовых ресурсов Ульяновской области (т. (8422) 42-16-75).</w:t>
      </w:r>
    </w:p>
    <w:p>
      <w:pPr>
        <w:pStyle w:val="Normal"/>
        <w:shd w:val="clear" w:color="auto" w:fill="FFFFFF"/>
        <w:ind w:hanging="0"/>
        <w:jc w:val="both"/>
        <w:rPr>
          <w:rFonts w:ascii="PT Astra Serif" w:hAnsi="PT Astra Serif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hd w:val="clear" w:color="auto" w:fill="FFFFFF"/>
        <w:ind w:hanging="0"/>
        <w:jc w:val="center"/>
        <w:rPr>
          <w:rFonts w:ascii="PT Astra Serif" w:hAnsi="PT Astra Serif"/>
          <w:b/>
          <w:bCs/>
          <w:color w:val="000000"/>
        </w:rPr>
      </w:pPr>
      <w:r>
        <w:rPr>
          <w:rFonts w:eastAsia="Times New Roman" w:cs="Times New Roman" w:ascii="PT Astra Serif" w:hAnsi="PT Astra Serif"/>
          <w:b/>
          <w:bCs/>
          <w:color w:val="000000"/>
          <w:sz w:val="28"/>
          <w:szCs w:val="28"/>
          <w:lang w:eastAsia="ru-RU"/>
        </w:rPr>
        <w:t>Административная ответственность</w:t>
      </w:r>
    </w:p>
    <w:p>
      <w:pPr>
        <w:pStyle w:val="Normal"/>
        <w:shd w:val="clear" w:color="auto" w:fill="FFFFFF"/>
        <w:ind w:hanging="0"/>
        <w:jc w:val="center"/>
        <w:rPr>
          <w:rFonts w:ascii="PT Astra Serif" w:hAnsi="PT Astra Serif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jc w:val="both"/>
        <w:rPr>
          <w:rFonts w:ascii="PT Astra Serif" w:hAnsi="PT Astra Serif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shd w:fill="FFFFFF" w:val="clear"/>
          <w:lang w:eastAsia="ru-RU"/>
        </w:rPr>
        <w:t xml:space="preserve">В соответствии со статьёй 5.42 Кодекса Российской Федерации </w:t>
        <w:br/>
        <w:t xml:space="preserve">об административных правонарушениях (далее — КоАП РФ) неисполнение работодателем обязанности по выполнению квоты для приема на работу инвалидов, за исключением случаев освобождения работодателя от выполнения установленной квоты, либо отказ работодателя в приеме на работу инвалида </w:t>
        <w:br/>
        <w:t xml:space="preserve">в пределах установленной квоты </w:t>
      </w:r>
    </w:p>
    <w:p>
      <w:pPr>
        <w:pStyle w:val="Normal"/>
        <w:shd w:val="clear" w:color="auto" w:fill="FFFFFF"/>
        <w:jc w:val="both"/>
        <w:rPr>
          <w:rFonts w:ascii="PT Astra Serif" w:hAnsi="PT Astra Serif" w:eastAsia="Times New Roman" w:cs="Times New Roman"/>
          <w:i/>
          <w:i/>
          <w:iCs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PT Astra Serif" w:hAnsi="PT Astra Serif"/>
          <w:i/>
          <w:iCs/>
          <w:color w:val="000000"/>
          <w:sz w:val="28"/>
          <w:szCs w:val="28"/>
          <w:shd w:fill="FFFFFF" w:val="clear"/>
          <w:lang w:eastAsia="ru-RU"/>
        </w:rPr>
        <w:t xml:space="preserve">- влечет наложение административного штрафа на должностных лиц </w:t>
        <w:br/>
        <w:t xml:space="preserve">в размере от двадцати тысяч до тридцати тысяч рублей; на индивидуальных предпринимателей - от тридцати тысяч до пятидесяти тысяч рублей; </w:t>
        <w:br/>
        <w:t>на юридических лиц - от пятидесяти тысяч до ста тысяч рублей.</w:t>
      </w:r>
    </w:p>
    <w:p>
      <w:pPr>
        <w:pStyle w:val="Normal"/>
        <w:shd w:val="clear" w:color="auto" w:fill="FFFFFF"/>
        <w:jc w:val="both"/>
        <w:rPr>
          <w:rFonts w:eastAsia="Times New Roman" w:cs="Times New Roman"/>
          <w:i/>
          <w:i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/>
          <w:i/>
          <w:sz w:val="28"/>
          <w:szCs w:val="28"/>
          <w:shd w:fill="FFFFFF" w:val="clear"/>
          <w:lang w:eastAsia="ru-RU"/>
        </w:rPr>
      </w:r>
    </w:p>
    <w:p>
      <w:pPr>
        <w:pStyle w:val="Normal"/>
        <w:shd w:val="clear" w:color="auto" w:fill="FFFFFF"/>
        <w:ind w:firstLine="708"/>
        <w:jc w:val="both"/>
        <w:rPr>
          <w:rFonts w:ascii="PT Astra Serif" w:hAnsi="PT Astra Serif"/>
          <w:color w:val="000000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lang w:eastAsia="ru-RU"/>
        </w:rPr>
        <w:t xml:space="preserve">Кроме того, согласно статье 19.7 КоАП РФ непредставление </w:t>
        <w:br/>
        <w:t>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7, 8 и 9 статьи 19.34 КоАП РФ</w:t>
      </w:r>
      <w:r>
        <w:rPr>
          <w:rFonts w:eastAsia="Times New Roman" w:cs="Times New Roman" w:ascii="PT Astra Serif" w:hAnsi="PT Astra Serif"/>
          <w:color w:val="000000"/>
          <w:sz w:val="28"/>
          <w:szCs w:val="28"/>
          <w:shd w:fill="FFFFFF" w:val="clear"/>
          <w:lang w:eastAsia="ru-RU"/>
        </w:rPr>
        <w:t xml:space="preserve">, </w:t>
      </w:r>
    </w:p>
    <w:p>
      <w:pPr>
        <w:pStyle w:val="Normal"/>
        <w:jc w:val="both"/>
        <w:rPr>
          <w:rFonts w:ascii="PT Astra Serif" w:hAnsi="PT Astra Serif"/>
          <w:color w:val="000000"/>
        </w:rPr>
      </w:pPr>
      <w:r>
        <w:rPr>
          <w:rFonts w:eastAsia="Times New Roman" w:cs="Times New Roman" w:ascii="PT Astra Serif" w:hAnsi="PT Astra Serif"/>
          <w:i/>
          <w:color w:val="000000"/>
          <w:sz w:val="28"/>
          <w:szCs w:val="28"/>
          <w:shd w:fill="FFFFFF" w:val="clear"/>
          <w:lang w:eastAsia="ru-RU"/>
        </w:rPr>
        <w:t xml:space="preserve">– </w:t>
      </w:r>
      <w:r>
        <w:rPr>
          <w:rFonts w:eastAsia="Times New Roman" w:cs="Times New Roman" w:ascii="PT Astra Serif" w:hAnsi="PT Astra Serif"/>
          <w:i/>
          <w:color w:val="000000"/>
          <w:sz w:val="28"/>
          <w:szCs w:val="28"/>
          <w:shd w:fill="FFFFFF" w:val="clear"/>
          <w:lang w:eastAsia="ru-RU"/>
        </w:rPr>
        <w:t xml:space="preserve">влечет предупреждение или наложение административного штрафа на граждан в размере от ста до трехсот рублей; на должностных лиц - </w:t>
        <w:br/>
        <w:t>от трехсот до пятисот рублей; на юридических лиц - от трех тысяч до пяти тысяч рублей.</w:t>
      </w:r>
    </w:p>
    <w:p>
      <w:pPr>
        <w:pStyle w:val="Normal"/>
        <w:jc w:val="center"/>
        <w:rPr>
          <w:rFonts w:ascii="PT Astra Serif" w:hAnsi="PT Astra Serif"/>
          <w:b/>
          <w:i w:val="false"/>
          <w:i w:val="false"/>
          <w:strike w:val="false"/>
          <w:dstrike w:val="false"/>
          <w:sz w:val="28"/>
          <w:u w:val="none"/>
        </w:rPr>
      </w:pPr>
      <w:r>
        <w:rPr>
          <w:rFonts w:eastAsia="Times New Roman" w:cs="Times New Roman" w:ascii="PT Astra Serif" w:hAnsi="PT Astra Serif"/>
          <w:i/>
          <w:color w:val="000000"/>
          <w:sz w:val="28"/>
          <w:szCs w:val="28"/>
          <w:shd w:fill="FFFFFF" w:val="clear"/>
          <w:lang w:eastAsia="ru-RU"/>
        </w:rPr>
        <w:t>______________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709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c01c2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c01c2"/>
    <w:rPr>
      <w:color w:val="605E5C"/>
      <w:shd w:fill="E1DFDD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2119c8"/>
    <w:pPr>
      <w:widowControl/>
      <w:suppressAutoHyphens w:val="true"/>
      <w:bidi w:val="0"/>
      <w:spacing w:before="0" w:after="0"/>
      <w:ind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9BF1-A0E1-4128-B17D-A949109F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Application>LibreOffice/25.8.3.2$Windows_X86_64 LibreOffice_project/8ca8d55c161d602844f5428fa4b58097424e324e</Application>
  <AppVersion>15.0000</AppVersion>
  <Pages>3</Pages>
  <Words>805</Words>
  <Characters>5768</Characters>
  <CharactersWithSpaces>6575</CharactersWithSpaces>
  <Paragraphs>24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2026-02-02T12:39:00Z</dcterms:created>
  <dc:creator>Lastochkina</dc:creator>
  <dc:description/>
  <dc:language>ru-RU</dc:language>
  <cp:lastModifiedBy/>
  <cp:lastPrinted>2026-02-02T12:43:54Z</cp:lastPrinted>
  <dcterms:modified xsi:type="dcterms:W3CDTF">2026-02-03T11:50:14Z</dcterms:modified>
  <cp:revision>12</cp:revision>
  <dc:subject/>
  <dc:title>Федеральный закон от 12.12.2023 N 565-ФЗ(ред. от 08.08.2024)"О занятости населения в Российской Федерации"(с изм. и доп., вступ. в силу с 01.03.2025)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